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ACA" w14:textId="769E8949" w:rsidR="00345B42" w:rsidRPr="009500A1" w:rsidRDefault="009500A1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>
        <w:rPr>
          <w:rFonts w:ascii="Times New Roman" w:hAnsi="Times New Roman"/>
          <w:b/>
          <w:sz w:val="28"/>
          <w:szCs w:val="24"/>
          <w:lang w:val="es-ES"/>
        </w:rPr>
        <w:t xml:space="preserve">Uso de </w:t>
      </w:r>
      <w:proofErr w:type="spellStart"/>
      <w:r>
        <w:rPr>
          <w:rFonts w:ascii="Times New Roman" w:hAnsi="Times New Roman"/>
          <w:b/>
          <w:sz w:val="28"/>
          <w:szCs w:val="24"/>
          <w:lang w:val="es-ES"/>
        </w:rPr>
        <w:t>Floria</w:t>
      </w:r>
      <w:proofErr w:type="spellEnd"/>
      <w:r>
        <w:rPr>
          <w:rFonts w:ascii="Times New Roman" w:hAnsi="Times New Roman"/>
          <w:b/>
          <w:sz w:val="28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s-ES"/>
        </w:rPr>
        <w:t>violetoxia</w:t>
      </w:r>
      <w:proofErr w:type="spellEnd"/>
      <w:r>
        <w:rPr>
          <w:rFonts w:ascii="Times New Roman" w:hAnsi="Times New Roman"/>
          <w:b/>
          <w:sz w:val="28"/>
          <w:szCs w:val="24"/>
          <w:lang w:val="es-ES"/>
        </w:rPr>
        <w:t xml:space="preserve"> en jardines del Tacuarembó</w:t>
      </w:r>
    </w:p>
    <w:p w14:paraId="780E7D7A" w14:textId="77777777" w:rsidR="00345B42" w:rsidRPr="009500A1" w:rsidRDefault="00345B42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9500A1">
        <w:rPr>
          <w:rFonts w:ascii="Times New Roman" w:hAnsi="Times New Roman"/>
          <w:b/>
          <w:sz w:val="28"/>
          <w:szCs w:val="24"/>
          <w:lang w:val="es-ES"/>
        </w:rPr>
        <w:t xml:space="preserve"> </w:t>
      </w:r>
    </w:p>
    <w:p w14:paraId="5EF0B711" w14:textId="748416D6" w:rsidR="00345B42" w:rsidRPr="00141126" w:rsidRDefault="009500A1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Pérez, A</w:t>
      </w:r>
      <w:r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/>
          <w:b/>
          <w:sz w:val="24"/>
          <w:szCs w:val="24"/>
          <w:lang w:val="es-ES"/>
        </w:rPr>
        <w:t>., Gómez, B.</w:t>
      </w:r>
      <w:r w:rsidRPr="009500A1">
        <w:rPr>
          <w:rFonts w:ascii="Times New Roman" w:hAnsi="Times New Roman"/>
          <w:b/>
          <w:sz w:val="24"/>
          <w:szCs w:val="24"/>
          <w:vertAlign w:val="superscript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="002F74D9">
        <w:rPr>
          <w:rFonts w:ascii="Times New Roman" w:hAnsi="Times New Roman"/>
          <w:b/>
          <w:sz w:val="24"/>
          <w:szCs w:val="24"/>
          <w:lang w:val="es-ES"/>
        </w:rPr>
        <w:t>García, C.</w:t>
      </w:r>
      <w:r w:rsidR="002F74D9" w:rsidRPr="002F74D9">
        <w:rPr>
          <w:rFonts w:ascii="Times New Roman" w:hAnsi="Times New Roman"/>
          <w:b/>
          <w:sz w:val="24"/>
          <w:szCs w:val="24"/>
          <w:vertAlign w:val="superscript"/>
          <w:lang w:val="es-ES"/>
        </w:rPr>
        <w:t xml:space="preserve"> </w:t>
      </w:r>
      <w:r w:rsidR="002F74D9">
        <w:rPr>
          <w:rFonts w:ascii="Times New Roman" w:hAnsi="Times New Roman"/>
          <w:b/>
          <w:sz w:val="24"/>
          <w:szCs w:val="24"/>
          <w:vertAlign w:val="superscript"/>
          <w:lang w:val="es-ES"/>
        </w:rPr>
        <w:t>2</w:t>
      </w:r>
      <w:r w:rsidR="002F74D9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s-ES"/>
        </w:rPr>
        <w:t>y Rodríguez,</w:t>
      </w:r>
      <w:r w:rsidR="002F74D9">
        <w:rPr>
          <w:rFonts w:ascii="Times New Roman" w:hAnsi="Times New Roman"/>
          <w:b/>
          <w:sz w:val="24"/>
          <w:szCs w:val="24"/>
          <w:lang w:val="es-ES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es-ES"/>
        </w:rPr>
        <w:t>.</w:t>
      </w:r>
      <w:r w:rsidR="002F74D9" w:rsidRPr="002F74D9">
        <w:rPr>
          <w:rFonts w:ascii="Times New Roman" w:hAnsi="Times New Roman"/>
          <w:b/>
          <w:sz w:val="24"/>
          <w:szCs w:val="24"/>
          <w:vertAlign w:val="superscript"/>
          <w:lang w:val="es-ES"/>
        </w:rPr>
        <w:t xml:space="preserve"> </w:t>
      </w:r>
      <w:r w:rsidR="002F74D9">
        <w:rPr>
          <w:rFonts w:ascii="Times New Roman" w:hAnsi="Times New Roman"/>
          <w:b/>
          <w:sz w:val="24"/>
          <w:szCs w:val="24"/>
          <w:vertAlign w:val="superscript"/>
          <w:lang w:val="es-ES"/>
        </w:rPr>
        <w:t>3</w:t>
      </w:r>
      <w:r w:rsidR="00345B42">
        <w:rPr>
          <w:rFonts w:ascii="Times New Roman" w:hAnsi="Times New Roman"/>
          <w:b/>
          <w:sz w:val="24"/>
          <w:szCs w:val="24"/>
          <w:lang w:val="es-ES"/>
        </w:rPr>
        <w:t>.</w:t>
      </w:r>
    </w:p>
    <w:p w14:paraId="053758DE" w14:textId="3FDC3AAD" w:rsidR="00846144" w:rsidRPr="009500A1" w:rsidRDefault="009500A1" w:rsidP="0095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9500A1">
        <w:rPr>
          <w:rFonts w:ascii="Times New Roman" w:hAnsi="Times New Roman"/>
          <w:sz w:val="24"/>
          <w:szCs w:val="24"/>
          <w:lang w:val="es-ES"/>
        </w:rPr>
        <w:t>Instituto</w:t>
      </w:r>
      <w:r>
        <w:rPr>
          <w:rFonts w:ascii="Times New Roman" w:hAnsi="Times New Roman"/>
          <w:sz w:val="24"/>
          <w:szCs w:val="24"/>
          <w:lang w:val="es-ES"/>
        </w:rPr>
        <w:t xml:space="preserve"> de Investigaciones en Flora Nativa, 2- Vivero Talita</w:t>
      </w:r>
      <w:r w:rsidR="002F74D9">
        <w:rPr>
          <w:rFonts w:ascii="Times New Roman" w:hAnsi="Times New Roman"/>
          <w:sz w:val="24"/>
          <w:szCs w:val="24"/>
          <w:lang w:val="es-ES"/>
        </w:rPr>
        <w:t>, 3- Escuela Pitanga.</w:t>
      </w:r>
    </w:p>
    <w:p w14:paraId="3758FC1D" w14:textId="2089F4B5" w:rsidR="00345B42" w:rsidRPr="009500A1" w:rsidRDefault="00247944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9500A1">
        <w:rPr>
          <w:rFonts w:ascii="Times New Roman" w:hAnsi="Times New Roman"/>
          <w:sz w:val="24"/>
          <w:szCs w:val="24"/>
          <w:lang w:val="es-ES"/>
        </w:rPr>
        <w:t xml:space="preserve"> </w:t>
      </w:r>
      <w:hyperlink r:id="rId8" w:history="1">
        <w:r w:rsidR="009500A1" w:rsidRPr="00C221A9">
          <w:rPr>
            <w:rStyle w:val="Hipervnculo"/>
            <w:rFonts w:ascii="Times New Roman" w:hAnsi="Times New Roman"/>
            <w:sz w:val="24"/>
            <w:szCs w:val="24"/>
            <w:lang w:val="es-ES"/>
          </w:rPr>
          <w:t>perezvioletoxia@gmail.com</w:t>
        </w:r>
      </w:hyperlink>
    </w:p>
    <w:p w14:paraId="6BCCB89A" w14:textId="77777777" w:rsidR="00345B42" w:rsidRPr="009500A1" w:rsidRDefault="00345B42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7D2E482" w14:textId="77777777" w:rsidR="00345B42" w:rsidRPr="009500A1" w:rsidRDefault="00345B42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78E04FB" w14:textId="77777777" w:rsidR="009500A1" w:rsidRPr="00D409F2" w:rsidRDefault="009500A1" w:rsidP="00B553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09F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Introducción a la temática:</w:t>
      </w:r>
    </w:p>
    <w:p w14:paraId="328A3E60" w14:textId="40A62C93" w:rsidR="009500A1" w:rsidRDefault="009500A1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 conocimiento sobre la reproducción en cautiverio de la familia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Florianae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 muy conocido a nivel mundial, y las flores de las especies pertenecientes a esta familia muy vistosas. Sin embargo, no se han encontrado experiencias de reproducción en vivero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Florai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violetoxia</w:t>
      </w:r>
      <w:proofErr w:type="spellEnd"/>
      <w:r w:rsidR="002F74D9">
        <w:rPr>
          <w:rFonts w:ascii="Times New Roman" w:hAnsi="Times New Roman" w:cs="Times New Roman"/>
          <w:color w:val="000000"/>
          <w:sz w:val="24"/>
          <w:szCs w:val="24"/>
          <w:lang w:val="es-ES"/>
        </w:rPr>
        <w:t>, ni su uso en jardinería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violetoxia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 una espec</w:t>
      </w:r>
      <w:r w:rsidR="002F74D9">
        <w:rPr>
          <w:rFonts w:ascii="Times New Roman" w:hAnsi="Times New Roman" w:cs="Times New Roman"/>
          <w:color w:val="000000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 endémica de la Cuchilla Grande, típica de suelos superficiales y arbustales. Florece en dos períodos al año, con flores que varían de tonalidades blancas a violetas. </w:t>
      </w:r>
    </w:p>
    <w:p w14:paraId="62951CBF" w14:textId="6E5935BA" w:rsidR="002F74D9" w:rsidRPr="00D409F2" w:rsidRDefault="009500A1" w:rsidP="00B553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09F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Objetivo</w:t>
      </w:r>
      <w:r w:rsidR="00D409F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</w:t>
      </w:r>
      <w:r w:rsidRPr="00D409F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del trabajo: </w:t>
      </w:r>
    </w:p>
    <w:p w14:paraId="698E445F" w14:textId="2DE7C7C9" w:rsidR="009500A1" w:rsidRDefault="002F74D9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Uno de los objetivos </w:t>
      </w:r>
      <w:r w:rsidR="009500A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del trabajo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fue la reproducción y uso en jardinería de</w:t>
      </w:r>
      <w:r w:rsidR="009500A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409F2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Floria</w:t>
      </w:r>
      <w:proofErr w:type="spellEnd"/>
      <w:r w:rsidRPr="00D409F2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D409F2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violetoxia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 El otro objetivo fue trabajar en educación ambiental a través de flora nativa en una escuela rural.</w:t>
      </w:r>
    </w:p>
    <w:p w14:paraId="05D7E5D6" w14:textId="77777777" w:rsidR="002F74D9" w:rsidRPr="00D409F2" w:rsidRDefault="009500A1" w:rsidP="009500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09F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Lugar de la experiencia: </w:t>
      </w:r>
    </w:p>
    <w:p w14:paraId="261CF6A0" w14:textId="4698F099" w:rsidR="009500A1" w:rsidRDefault="009500A1" w:rsidP="0095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experiencia se realizó en un vivero </w:t>
      </w:r>
      <w:r w:rsidR="00D54F7B" w:rsidRPr="00EA6A2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una zona serrana d</w:t>
      </w:r>
      <w:r w:rsidR="00D54F7B" w:rsidRPr="00EA6A2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 Departamento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Tacurembó</w:t>
      </w:r>
      <w:proofErr w:type="spellEnd"/>
      <w:r w:rsidR="00D54F7B" w:rsidRPr="00EA6A2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en la localidad de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Flores que brotan</w:t>
      </w:r>
      <w:r w:rsidR="00147633" w:rsidRPr="00EA6A2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1F8EF01" w14:textId="38D1835E" w:rsidR="009500A1" w:rsidRDefault="009500A1" w:rsidP="0095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409F2">
        <w:rPr>
          <w:rFonts w:ascii="Times New Roman" w:hAnsi="Times New Roman" w:cs="Times New Roman"/>
          <w:b/>
          <w:sz w:val="24"/>
          <w:szCs w:val="24"/>
          <w:lang w:val="es-ES"/>
        </w:rPr>
        <w:t xml:space="preserve">Breve </w:t>
      </w:r>
      <w:r w:rsidR="002F74D9" w:rsidRPr="00D409F2">
        <w:rPr>
          <w:rFonts w:ascii="Times New Roman" w:hAnsi="Times New Roman" w:cs="Times New Roman"/>
          <w:b/>
          <w:sz w:val="24"/>
          <w:szCs w:val="24"/>
          <w:lang w:val="es-ES"/>
        </w:rPr>
        <w:t>descripción</w:t>
      </w:r>
      <w:r w:rsidRPr="00D409F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trabajo realizado: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el año 2025</w:t>
      </w:r>
      <w:r w:rsidR="00D54F7B" w:rsidRPr="00EA6A26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es-ES"/>
        </w:rPr>
        <w:t>iniciaron experiencias de colecta de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semillas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45587">
        <w:rPr>
          <w:rFonts w:ascii="Times New Roman" w:hAnsi="Times New Roman" w:cs="Times New Roman"/>
          <w:i/>
          <w:sz w:val="24"/>
          <w:szCs w:val="24"/>
          <w:lang w:val="es-ES"/>
        </w:rPr>
        <w:t>Floria</w:t>
      </w:r>
      <w:proofErr w:type="spellEnd"/>
      <w:r w:rsidRPr="0004558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045587">
        <w:rPr>
          <w:rFonts w:ascii="Times New Roman" w:hAnsi="Times New Roman" w:cs="Times New Roman"/>
          <w:i/>
          <w:sz w:val="24"/>
          <w:szCs w:val="24"/>
          <w:lang w:val="es-ES"/>
        </w:rPr>
        <w:t>violetoxia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Se cosecharon semillas en abril y noviembre durante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>desde 2025 a 2027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en ambiente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de arbustales dominados por </w:t>
      </w:r>
      <w:proofErr w:type="spellStart"/>
      <w:r w:rsidR="00045587" w:rsidRPr="00045587">
        <w:rPr>
          <w:rFonts w:ascii="Times New Roman" w:hAnsi="Times New Roman" w:cs="Times New Roman"/>
          <w:i/>
          <w:sz w:val="24"/>
          <w:szCs w:val="24"/>
          <w:lang w:val="es-ES"/>
        </w:rPr>
        <w:t>Arbustis</w:t>
      </w:r>
      <w:proofErr w:type="spellEnd"/>
      <w:r w:rsidR="00045587" w:rsidRPr="0004558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aroma</w:t>
      </w:r>
      <w:r w:rsidR="00D409F2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>con una rocosidad del 30%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Se colectaron en total 1023 semillas.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>Entre de 2026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 xml:space="preserve">y 2027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realizaron ensayos de germinación 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>donde se varió el sustrato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(sustrato A, B y C)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 xml:space="preserve"> y época de siembra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(febrero vs setiembre)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 xml:space="preserve">. Con los ejemplares obtenidos,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 xml:space="preserve">en 2027 y 2028 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>se trasplantaron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plantas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 xml:space="preserve"> en diferentes condiciones ambientales en e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>l jardín de la escuela Pitanga, y otras escuelas rurales de Tacuarembó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>. Luego se realizó seguimientos e intercambios de las experiencias en las escuelas junto con la comunidad de la escuela</w:t>
      </w:r>
      <w:r w:rsidR="002F74D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20AE248" w14:textId="4C78B75A" w:rsidR="002F74D9" w:rsidRPr="00D409F2" w:rsidRDefault="002F74D9" w:rsidP="00950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409F2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Lecciones aprendidas: </w:t>
      </w:r>
    </w:p>
    <w:p w14:paraId="55CC30CD" w14:textId="65E710C5" w:rsidR="002F74D9" w:rsidRDefault="002F74D9" w:rsidP="0095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identificó la mejor época para la colecta de semillas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fue en noviembre, ya que presentaron mayor respuesta a la regeneración. La época de siembra no influyó en el porcentaje de plantas germinadas. E</w:t>
      </w:r>
      <w:r>
        <w:rPr>
          <w:rFonts w:ascii="Times New Roman" w:hAnsi="Times New Roman" w:cs="Times New Roman"/>
          <w:sz w:val="24"/>
          <w:szCs w:val="24"/>
          <w:lang w:val="es-ES"/>
        </w:rPr>
        <w:t>l mejor sustrato para su reproducción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 xml:space="preserve"> fue el sustrato 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A partir del intercambio de experiencia 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diferente escuelas rurales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que plantaron la especie se lograron identificar algunas dificultades y alternativas para su sobrevivencia. Por ejemplo, plantar las especies a pleno sol y en sitios </w:t>
      </w:r>
      <w:r w:rsidR="00045587">
        <w:rPr>
          <w:rFonts w:ascii="Times New Roman" w:hAnsi="Times New Roman" w:cs="Times New Roman"/>
          <w:sz w:val="24"/>
          <w:szCs w:val="24"/>
          <w:lang w:val="es-ES"/>
        </w:rPr>
        <w:t>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pedregosos parece favorecer su sobrevivencia, siempre y cuando tenga un riego frecuente. Por el contrario, los ejemplares plantados en la sombra y suelo fueron aquellos con la menor sobrevivencia o que si vivieron, no llegaron a florecer. Asimismo, a través de esta especie como eje, se logró trabajar múltiples dimensiones de la naturaleza, el vínculo de las personas con la naturaleza, así como ciencias experimentales. </w:t>
      </w:r>
      <w:r w:rsidR="00D409F2">
        <w:rPr>
          <w:rFonts w:ascii="Times New Roman" w:hAnsi="Times New Roman" w:cs="Times New Roman"/>
          <w:sz w:val="24"/>
          <w:szCs w:val="24"/>
          <w:lang w:val="es-ES"/>
        </w:rPr>
        <w:t xml:space="preserve">Se espera a futuro poder comenzar a trabajar con otras instituciones y organizaciones y particulares para la incorporación de </w:t>
      </w:r>
      <w:proofErr w:type="spellStart"/>
      <w:r w:rsidR="00D409F2" w:rsidRPr="00D409F2">
        <w:rPr>
          <w:rFonts w:ascii="Times New Roman" w:hAnsi="Times New Roman" w:cs="Times New Roman"/>
          <w:i/>
          <w:sz w:val="24"/>
          <w:szCs w:val="24"/>
          <w:lang w:val="es-ES"/>
        </w:rPr>
        <w:t>Floria</w:t>
      </w:r>
      <w:proofErr w:type="spellEnd"/>
      <w:r w:rsidR="00D409F2" w:rsidRPr="00D409F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409F2" w:rsidRPr="00D409F2">
        <w:rPr>
          <w:rFonts w:ascii="Times New Roman" w:hAnsi="Times New Roman" w:cs="Times New Roman"/>
          <w:i/>
          <w:sz w:val="24"/>
          <w:szCs w:val="24"/>
          <w:lang w:val="es-ES"/>
        </w:rPr>
        <w:t>violetoxia</w:t>
      </w:r>
      <w:proofErr w:type="spellEnd"/>
      <w:r w:rsidR="00D409F2">
        <w:rPr>
          <w:rFonts w:ascii="Times New Roman" w:hAnsi="Times New Roman" w:cs="Times New Roman"/>
          <w:sz w:val="24"/>
          <w:szCs w:val="24"/>
          <w:lang w:val="es-ES"/>
        </w:rPr>
        <w:t xml:space="preserve"> a la jardinería y ornato público.</w:t>
      </w:r>
    </w:p>
    <w:p w14:paraId="5917012E" w14:textId="77777777" w:rsidR="002F74D9" w:rsidRDefault="002F74D9" w:rsidP="0095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22B5B55" w14:textId="445B9EF9" w:rsidR="000A3089" w:rsidRDefault="000A3089" w:rsidP="00B5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9EEA129" w14:textId="22A9482F" w:rsidR="000A3089" w:rsidRDefault="000A3089" w:rsidP="00B5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47EAB5" w14:textId="13D07357" w:rsidR="000A3089" w:rsidRPr="00EA6A26" w:rsidRDefault="000A3089" w:rsidP="000A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Presentación oral    __________                              Presentación en poster  ____</w:t>
      </w:r>
      <w:r w:rsidRPr="000A3089">
        <w:rPr>
          <w:rFonts w:ascii="Times New Roman" w:hAnsi="Times New Roman" w:cs="Times New Roman"/>
          <w:b/>
          <w:bCs/>
          <w:sz w:val="24"/>
          <w:szCs w:val="24"/>
          <w:lang w:val="es-ES"/>
        </w:rPr>
        <w:t>X</w:t>
      </w:r>
      <w:r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14:paraId="534305F2" w14:textId="77777777" w:rsidR="000A3089" w:rsidRPr="00EA6A26" w:rsidRDefault="000A3089" w:rsidP="00B5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A3089" w:rsidRPr="00EA6A26" w:rsidSect="00B55368">
      <w:headerReference w:type="first" r:id="rId9"/>
      <w:footerReference w:type="first" r:id="rId10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9EFF" w14:textId="77777777" w:rsidR="00512E8A" w:rsidRDefault="00512E8A" w:rsidP="005E719E">
      <w:pPr>
        <w:spacing w:after="0" w:line="240" w:lineRule="auto"/>
      </w:pPr>
      <w:r>
        <w:separator/>
      </w:r>
    </w:p>
  </w:endnote>
  <w:endnote w:type="continuationSeparator" w:id="0">
    <w:p w14:paraId="4EF631DF" w14:textId="77777777" w:rsidR="00512E8A" w:rsidRDefault="00512E8A" w:rsidP="005E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12F" w14:textId="7F6DB41F" w:rsidR="005E719E" w:rsidRDefault="001576F7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 wp14:anchorId="7AA41BF1" wp14:editId="49F325E7">
          <wp:simplePos x="0" y="0"/>
          <wp:positionH relativeFrom="margin">
            <wp:posOffset>5053330</wp:posOffset>
          </wp:positionH>
          <wp:positionV relativeFrom="paragraph">
            <wp:posOffset>-40005</wp:posOffset>
          </wp:positionV>
          <wp:extent cx="676275" cy="757555"/>
          <wp:effectExtent l="0" t="0" r="9525" b="4445"/>
          <wp:wrapTight wrapText="bothSides">
            <wp:wrapPolygon edited="0">
              <wp:start x="0" y="0"/>
              <wp:lineTo x="0" y="21184"/>
              <wp:lineTo x="21296" y="21184"/>
              <wp:lineTo x="21296" y="0"/>
              <wp:lineTo x="0" y="0"/>
            </wp:wrapPolygon>
          </wp:wrapTight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inline distT="0" distB="0" distL="0" distR="0" wp14:anchorId="0F9571E2" wp14:editId="4C62F198">
          <wp:extent cx="1685925" cy="422225"/>
          <wp:effectExtent l="0" t="0" r="0" b="0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599" cy="42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  <w:lang w:val="es-ES" w:eastAsia="es-ES" w:bidi="ar-SA"/>
      </w:rPr>
      <w:drawing>
        <wp:inline distT="0" distB="0" distL="0" distR="0" wp14:anchorId="6EF311B1" wp14:editId="51E61C2B">
          <wp:extent cx="790575" cy="410789"/>
          <wp:effectExtent l="0" t="0" r="0" b="889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56" cy="42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1CAC" w14:textId="77777777" w:rsidR="00512E8A" w:rsidRDefault="00512E8A" w:rsidP="005E719E">
      <w:pPr>
        <w:spacing w:after="0" w:line="240" w:lineRule="auto"/>
      </w:pPr>
      <w:r>
        <w:separator/>
      </w:r>
    </w:p>
  </w:footnote>
  <w:footnote w:type="continuationSeparator" w:id="0">
    <w:p w14:paraId="2E66BF40" w14:textId="77777777" w:rsidR="00512E8A" w:rsidRDefault="00512E8A" w:rsidP="005E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014" w14:textId="18F5BD88" w:rsidR="005E719E" w:rsidRPr="005E719E" w:rsidRDefault="005E719E">
    <w:pPr>
      <w:pStyle w:val="Encabezado"/>
      <w:rPr>
        <w:sz w:val="20"/>
        <w:szCs w:val="20"/>
        <w:lang w:val="es-ES"/>
      </w:rPr>
    </w:pPr>
    <w:r w:rsidRPr="005E719E">
      <w:rPr>
        <w:sz w:val="20"/>
        <w:szCs w:val="20"/>
        <w:lang w:val="es-ES"/>
      </w:rPr>
      <w:t xml:space="preserve">Primer Simposio Nacional de Uso Ornamental de la Flora Nativa  </w:t>
    </w:r>
    <w:r>
      <w:rPr>
        <w:sz w:val="20"/>
        <w:szCs w:val="20"/>
        <w:lang w:val="es-ES"/>
      </w:rPr>
      <w:t xml:space="preserve">                </w:t>
    </w:r>
    <w:r w:rsidRPr="005E719E">
      <w:rPr>
        <w:sz w:val="20"/>
        <w:szCs w:val="20"/>
        <w:lang w:val="es-ES"/>
      </w:rPr>
      <w:t xml:space="preserve"> 14-15 de octubre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81788"/>
    <w:multiLevelType w:val="hybridMultilevel"/>
    <w:tmpl w:val="F1D2CBC4"/>
    <w:lvl w:ilvl="0" w:tplc="5BA65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68"/>
    <w:rsid w:val="000152FA"/>
    <w:rsid w:val="00032CDF"/>
    <w:rsid w:val="00040B5C"/>
    <w:rsid w:val="00045587"/>
    <w:rsid w:val="00057372"/>
    <w:rsid w:val="0006750C"/>
    <w:rsid w:val="000A3089"/>
    <w:rsid w:val="00147633"/>
    <w:rsid w:val="0015493D"/>
    <w:rsid w:val="001576F7"/>
    <w:rsid w:val="001A099A"/>
    <w:rsid w:val="001C37F6"/>
    <w:rsid w:val="00213110"/>
    <w:rsid w:val="00247944"/>
    <w:rsid w:val="002959D7"/>
    <w:rsid w:val="002C73A0"/>
    <w:rsid w:val="002F74D9"/>
    <w:rsid w:val="003120EF"/>
    <w:rsid w:val="003378E4"/>
    <w:rsid w:val="00345B42"/>
    <w:rsid w:val="003878D8"/>
    <w:rsid w:val="00393E6F"/>
    <w:rsid w:val="003B786D"/>
    <w:rsid w:val="003C6CF9"/>
    <w:rsid w:val="00417FAD"/>
    <w:rsid w:val="004954E4"/>
    <w:rsid w:val="00495C25"/>
    <w:rsid w:val="00497E02"/>
    <w:rsid w:val="004A38CF"/>
    <w:rsid w:val="004B0A1B"/>
    <w:rsid w:val="004C1D2D"/>
    <w:rsid w:val="004F6663"/>
    <w:rsid w:val="005059A4"/>
    <w:rsid w:val="00512E8A"/>
    <w:rsid w:val="00546E8A"/>
    <w:rsid w:val="005E3FB0"/>
    <w:rsid w:val="005E719E"/>
    <w:rsid w:val="00606FFD"/>
    <w:rsid w:val="006530DF"/>
    <w:rsid w:val="006D0B20"/>
    <w:rsid w:val="006E5535"/>
    <w:rsid w:val="006F307F"/>
    <w:rsid w:val="00701A17"/>
    <w:rsid w:val="0076140D"/>
    <w:rsid w:val="007A6681"/>
    <w:rsid w:val="007B2805"/>
    <w:rsid w:val="008318E2"/>
    <w:rsid w:val="00846144"/>
    <w:rsid w:val="0091028C"/>
    <w:rsid w:val="00912724"/>
    <w:rsid w:val="009500A1"/>
    <w:rsid w:val="00971FC9"/>
    <w:rsid w:val="00981969"/>
    <w:rsid w:val="009A0C19"/>
    <w:rsid w:val="009A1DDA"/>
    <w:rsid w:val="00A05199"/>
    <w:rsid w:val="00A64228"/>
    <w:rsid w:val="00A944E9"/>
    <w:rsid w:val="00AB44DB"/>
    <w:rsid w:val="00AC0E07"/>
    <w:rsid w:val="00B43AF5"/>
    <w:rsid w:val="00B55368"/>
    <w:rsid w:val="00B931DD"/>
    <w:rsid w:val="00C23FDB"/>
    <w:rsid w:val="00C32F4F"/>
    <w:rsid w:val="00C74AAC"/>
    <w:rsid w:val="00C864A5"/>
    <w:rsid w:val="00C930A2"/>
    <w:rsid w:val="00C943A2"/>
    <w:rsid w:val="00C96375"/>
    <w:rsid w:val="00D3039B"/>
    <w:rsid w:val="00D409F2"/>
    <w:rsid w:val="00D54F7B"/>
    <w:rsid w:val="00D940B1"/>
    <w:rsid w:val="00EA6A26"/>
    <w:rsid w:val="00EA7E06"/>
    <w:rsid w:val="00F07EB2"/>
    <w:rsid w:val="00F4011C"/>
    <w:rsid w:val="00F66F6F"/>
    <w:rsid w:val="00F71FF7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44A"/>
  <w15:docId w15:val="{5E6632F7-173E-42DB-B2EE-ABDD408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68"/>
    <w:pPr>
      <w:spacing w:after="200" w:line="252" w:lineRule="auto"/>
      <w:jc w:val="left"/>
    </w:pPr>
    <w:rPr>
      <w:rFonts w:asciiTheme="majorHAnsi" w:eastAsiaTheme="majorEastAsia" w:hAnsiTheme="majorHAnsi" w:cstheme="majorBidi"/>
      <w:lang w:val="en-GB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B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02"/>
    <w:rPr>
      <w:rFonts w:ascii="Tahoma" w:eastAsiaTheme="majorEastAsia" w:hAnsi="Tahoma" w:cs="Tahoma"/>
      <w:sz w:val="16"/>
      <w:szCs w:val="16"/>
      <w:lang w:val="en-GB" w:bidi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4D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9E"/>
    <w:rPr>
      <w:rFonts w:asciiTheme="majorHAnsi" w:eastAsiaTheme="majorEastAsia" w:hAnsiTheme="majorHAnsi" w:cstheme="majorBidi"/>
      <w:lang w:val="en-GB" w:bidi="en-US"/>
    </w:rPr>
  </w:style>
  <w:style w:type="paragraph" w:styleId="Piedepgina">
    <w:name w:val="footer"/>
    <w:basedOn w:val="Normal"/>
    <w:link w:val="PiedepginaCar"/>
    <w:uiPriority w:val="99"/>
    <w:unhideWhenUsed/>
    <w:rsid w:val="005E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9E"/>
    <w:rPr>
      <w:rFonts w:asciiTheme="majorHAnsi" w:eastAsiaTheme="majorEastAsia" w:hAnsiTheme="majorHAnsi" w:cstheme="majorBidi"/>
      <w:lang w:val="en-GB" w:bidi="en-US"/>
    </w:rPr>
  </w:style>
  <w:style w:type="paragraph" w:styleId="Prrafodelista">
    <w:name w:val="List Paragraph"/>
    <w:basedOn w:val="Normal"/>
    <w:uiPriority w:val="34"/>
    <w:qFormat/>
    <w:rsid w:val="0095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violetox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96AD-E5F1-4E5F-9A41-221ECA5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oblumetto</dc:creator>
  <cp:lastModifiedBy>Oscar Blumetto</cp:lastModifiedBy>
  <cp:revision>2</cp:revision>
  <dcterms:created xsi:type="dcterms:W3CDTF">2022-06-16T17:47:00Z</dcterms:created>
  <dcterms:modified xsi:type="dcterms:W3CDTF">2022-06-16T17:47:00Z</dcterms:modified>
</cp:coreProperties>
</file>